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50" w:rsidRPr="00130463" w:rsidRDefault="00C2524A" w:rsidP="00130463">
      <w:pPr>
        <w:tabs>
          <w:tab w:val="right" w:pos="10229"/>
        </w:tabs>
        <w:spacing w:after="0" w:line="259" w:lineRule="auto"/>
        <w:ind w:left="0" w:right="-1156" w:firstLine="0"/>
        <w:jc w:val="left"/>
        <w:rPr>
          <w:sz w:val="24"/>
          <w:szCs w:val="24"/>
        </w:rPr>
      </w:pPr>
      <w:r w:rsidRPr="00130463">
        <w:rPr>
          <w:b/>
          <w:sz w:val="28"/>
          <w:szCs w:val="24"/>
        </w:rPr>
        <w:t>Allgemeine Informationen zu Datenverarbeitungen für Mieter gem. §15 KDG</w:t>
      </w:r>
      <w:r w:rsidRPr="00130463">
        <w:rPr>
          <w:b/>
          <w:color w:val="7F7F7F"/>
          <w:sz w:val="28"/>
          <w:szCs w:val="24"/>
        </w:rPr>
        <w:t xml:space="preserve"> </w:t>
      </w:r>
    </w:p>
    <w:p w:rsidR="009D2550" w:rsidRDefault="00C2524A">
      <w:pPr>
        <w:spacing w:after="0" w:line="259" w:lineRule="auto"/>
        <w:ind w:left="0" w:firstLine="0"/>
        <w:jc w:val="left"/>
      </w:pPr>
      <w:r>
        <w:rPr>
          <w:b/>
          <w:color w:val="7F7F7F"/>
          <w:sz w:val="26"/>
        </w:rPr>
        <w:t xml:space="preserve"> </w:t>
      </w:r>
    </w:p>
    <w:p w:rsidR="009D2550" w:rsidRDefault="00C2524A">
      <w:pPr>
        <w:spacing w:after="22" w:line="259" w:lineRule="auto"/>
        <w:ind w:left="0" w:firstLine="0"/>
        <w:jc w:val="left"/>
      </w:pPr>
      <w:r>
        <w:rPr>
          <w:sz w:val="20"/>
        </w:rPr>
        <w:t xml:space="preserve"> </w:t>
      </w:r>
    </w:p>
    <w:tbl>
      <w:tblPr>
        <w:tblStyle w:val="TableGrid"/>
        <w:tblW w:w="9090" w:type="dxa"/>
        <w:tblInd w:w="0" w:type="dxa"/>
        <w:tblLook w:val="04A0" w:firstRow="1" w:lastRow="0" w:firstColumn="1" w:lastColumn="0" w:noHBand="0" w:noVBand="1"/>
      </w:tblPr>
      <w:tblGrid>
        <w:gridCol w:w="2832"/>
        <w:gridCol w:w="6258"/>
      </w:tblGrid>
      <w:tr w:rsidR="009D2550">
        <w:trPr>
          <w:trHeight w:val="2527"/>
        </w:trPr>
        <w:tc>
          <w:tcPr>
            <w:tcW w:w="2832" w:type="dxa"/>
            <w:tcBorders>
              <w:top w:val="nil"/>
              <w:left w:val="nil"/>
              <w:bottom w:val="nil"/>
              <w:right w:val="nil"/>
            </w:tcBorders>
          </w:tcPr>
          <w:p w:rsidR="009D2550" w:rsidRDefault="00C2524A">
            <w:pPr>
              <w:spacing w:after="1872" w:line="259" w:lineRule="auto"/>
              <w:ind w:left="0" w:firstLine="0"/>
              <w:jc w:val="left"/>
            </w:pPr>
            <w:r>
              <w:rPr>
                <w:b/>
              </w:rPr>
              <w:t>Verantwortliche Stelle:</w:t>
            </w:r>
            <w:r>
              <w:t xml:space="preserve"> </w:t>
            </w:r>
          </w:p>
          <w:p w:rsidR="009D2550" w:rsidRDefault="00C2524A">
            <w:pPr>
              <w:spacing w:after="0" w:line="259" w:lineRule="auto"/>
              <w:ind w:left="0" w:firstLine="0"/>
              <w:jc w:val="left"/>
            </w:pPr>
            <w:r>
              <w:t xml:space="preserve"> </w:t>
            </w:r>
          </w:p>
        </w:tc>
        <w:tc>
          <w:tcPr>
            <w:tcW w:w="6258" w:type="dxa"/>
            <w:tcBorders>
              <w:top w:val="nil"/>
              <w:left w:val="nil"/>
              <w:bottom w:val="nil"/>
              <w:right w:val="nil"/>
            </w:tcBorders>
          </w:tcPr>
          <w:p w:rsidR="009D2550" w:rsidRDefault="00C2524A">
            <w:pPr>
              <w:spacing w:after="19" w:line="259" w:lineRule="auto"/>
              <w:ind w:left="0" w:firstLine="0"/>
              <w:jc w:val="left"/>
            </w:pPr>
            <w:r>
              <w:t xml:space="preserve">Bischöfliches Generalvikariat Münster </w:t>
            </w:r>
          </w:p>
          <w:p w:rsidR="009D2550" w:rsidRDefault="00C2524A">
            <w:pPr>
              <w:spacing w:after="20" w:line="259" w:lineRule="auto"/>
              <w:ind w:left="0" w:firstLine="0"/>
              <w:jc w:val="left"/>
            </w:pPr>
            <w:r>
              <w:t xml:space="preserve">Domplatz 27 </w:t>
            </w:r>
          </w:p>
          <w:p w:rsidR="009D2550" w:rsidRDefault="00C2524A">
            <w:pPr>
              <w:spacing w:after="19" w:line="259" w:lineRule="auto"/>
              <w:ind w:left="0" w:firstLine="0"/>
              <w:jc w:val="left"/>
            </w:pPr>
            <w:r>
              <w:t xml:space="preserve">48143 Münster </w:t>
            </w:r>
          </w:p>
          <w:p w:rsidR="009D2550" w:rsidRDefault="00C2524A">
            <w:pPr>
              <w:spacing w:after="19" w:line="259" w:lineRule="auto"/>
              <w:ind w:left="0" w:firstLine="0"/>
              <w:jc w:val="left"/>
            </w:pPr>
            <w:r>
              <w:t xml:space="preserve"> </w:t>
            </w:r>
          </w:p>
          <w:p w:rsidR="009D2550" w:rsidRDefault="00C2524A" w:rsidP="00EC793B">
            <w:pPr>
              <w:spacing w:after="0" w:line="277" w:lineRule="auto"/>
              <w:ind w:left="0" w:right="16" w:firstLine="0"/>
              <w:jc w:val="left"/>
            </w:pPr>
            <w:r>
              <w:t>Das Bistum Münster ist eine Körperschaft des öffentlichen Rechts und wird vertreten durch den Bischöflichen Generalvikar,</w:t>
            </w:r>
            <w:r w:rsidR="00EC793B">
              <w:br/>
            </w:r>
            <w:r>
              <w:t xml:space="preserve">Domplatz 27, 48143 Münster. </w:t>
            </w:r>
          </w:p>
        </w:tc>
      </w:tr>
      <w:tr w:rsidR="009D2550">
        <w:trPr>
          <w:trHeight w:val="2515"/>
        </w:trPr>
        <w:tc>
          <w:tcPr>
            <w:tcW w:w="2832" w:type="dxa"/>
            <w:tcBorders>
              <w:top w:val="nil"/>
              <w:left w:val="nil"/>
              <w:bottom w:val="nil"/>
              <w:right w:val="nil"/>
            </w:tcBorders>
          </w:tcPr>
          <w:p w:rsidR="009D2550" w:rsidRDefault="00C2524A">
            <w:pPr>
              <w:spacing w:after="0" w:line="259" w:lineRule="auto"/>
              <w:ind w:left="0" w:firstLine="0"/>
              <w:jc w:val="left"/>
            </w:pPr>
            <w:r>
              <w:rPr>
                <w:b/>
              </w:rPr>
              <w:t>Datenschutzbeauftragte</w:t>
            </w:r>
            <w:r w:rsidR="00130463">
              <w:rPr>
                <w:b/>
              </w:rPr>
              <w:t>r</w:t>
            </w:r>
            <w:r>
              <w:rPr>
                <w:b/>
              </w:rPr>
              <w:t xml:space="preserve">: </w:t>
            </w:r>
          </w:p>
        </w:tc>
        <w:tc>
          <w:tcPr>
            <w:tcW w:w="6258" w:type="dxa"/>
            <w:tcBorders>
              <w:top w:val="nil"/>
              <w:left w:val="nil"/>
              <w:bottom w:val="nil"/>
              <w:right w:val="nil"/>
            </w:tcBorders>
            <w:vAlign w:val="bottom"/>
          </w:tcPr>
          <w:p w:rsidR="009D2550" w:rsidRDefault="00C2524A">
            <w:pPr>
              <w:spacing w:after="0" w:line="259" w:lineRule="auto"/>
              <w:ind w:left="0" w:firstLine="0"/>
              <w:jc w:val="left"/>
            </w:pPr>
            <w:r>
              <w:t xml:space="preserve">Bischöfliches Generalvikariat Münster </w:t>
            </w:r>
          </w:p>
          <w:p w:rsidR="009D2550" w:rsidRDefault="00C2524A">
            <w:pPr>
              <w:spacing w:after="0" w:line="241" w:lineRule="auto"/>
              <w:ind w:left="4" w:right="50" w:firstLine="0"/>
              <w:jc w:val="left"/>
            </w:pPr>
            <w:r>
              <w:t xml:space="preserve">Datenschutzbeauftragter des Bistums Münster nebst unselbständiger Einrichtungen des Bistums Münster Hauptabteilung Zentrale Aufgaben </w:t>
            </w:r>
          </w:p>
          <w:p w:rsidR="009D2550" w:rsidRDefault="00C2524A">
            <w:pPr>
              <w:spacing w:after="0" w:line="259" w:lineRule="auto"/>
              <w:ind w:left="4" w:firstLine="0"/>
              <w:jc w:val="left"/>
            </w:pPr>
            <w:r>
              <w:t xml:space="preserve">Fachstelle 105 IT Sicherheit und Datenschutz </w:t>
            </w:r>
          </w:p>
          <w:p w:rsidR="009D2550" w:rsidRDefault="00C2524A">
            <w:pPr>
              <w:spacing w:after="0" w:line="259" w:lineRule="auto"/>
              <w:ind w:left="4" w:firstLine="0"/>
              <w:jc w:val="left"/>
            </w:pPr>
            <w:r>
              <w:t xml:space="preserve">Rainer Timmerhinrich </w:t>
            </w:r>
          </w:p>
          <w:p w:rsidR="009D2550" w:rsidRDefault="00C2524A">
            <w:pPr>
              <w:spacing w:after="0" w:line="259" w:lineRule="auto"/>
              <w:ind w:left="4" w:firstLine="0"/>
              <w:jc w:val="left"/>
            </w:pPr>
            <w:r>
              <w:t xml:space="preserve">Domplatz 27 </w:t>
            </w:r>
          </w:p>
          <w:p w:rsidR="009D2550" w:rsidRDefault="00C2524A">
            <w:pPr>
              <w:spacing w:after="0" w:line="259" w:lineRule="auto"/>
              <w:ind w:left="4" w:firstLine="0"/>
              <w:jc w:val="left"/>
            </w:pPr>
            <w:r>
              <w:t xml:space="preserve">48143 Münster </w:t>
            </w:r>
          </w:p>
          <w:p w:rsidR="009D2550" w:rsidRDefault="00EC793B">
            <w:pPr>
              <w:spacing w:after="0" w:line="259" w:lineRule="auto"/>
              <w:ind w:left="4" w:firstLine="0"/>
              <w:jc w:val="left"/>
            </w:pPr>
            <w:r>
              <w:t>Telefon</w:t>
            </w:r>
            <w:r w:rsidR="00C2524A">
              <w:t xml:space="preserve">: 0251 495 17055 </w:t>
            </w:r>
          </w:p>
        </w:tc>
      </w:tr>
    </w:tbl>
    <w:p w:rsidR="009D2550" w:rsidRPr="00130463" w:rsidRDefault="00EC793B" w:rsidP="00130463">
      <w:pPr>
        <w:spacing w:after="0" w:line="259" w:lineRule="auto"/>
        <w:ind w:left="2836" w:firstLine="0"/>
        <w:jc w:val="left"/>
        <w:rPr>
          <w:lang w:val="fr-FR"/>
        </w:rPr>
      </w:pPr>
      <w:r>
        <w:rPr>
          <w:lang w:val="fr-FR"/>
        </w:rPr>
        <w:t>E-Mail</w:t>
      </w:r>
      <w:r w:rsidR="00C2524A" w:rsidRPr="00130463">
        <w:rPr>
          <w:lang w:val="fr-FR"/>
        </w:rPr>
        <w:t xml:space="preserve">: </w:t>
      </w:r>
      <w:r w:rsidR="00C2524A" w:rsidRPr="00130463">
        <w:rPr>
          <w:color w:val="0000FF"/>
          <w:u w:val="single" w:color="0000FF"/>
          <w:lang w:val="fr-FR"/>
        </w:rPr>
        <w:t>datenschutz‐bistum@bistum‐muenster.de</w:t>
      </w:r>
      <w:r w:rsidR="00C2524A" w:rsidRPr="00130463">
        <w:rPr>
          <w:lang w:val="fr-FR"/>
        </w:rPr>
        <w:t xml:space="preserve"> </w:t>
      </w:r>
    </w:p>
    <w:p w:rsidR="009D2550" w:rsidRPr="00130463" w:rsidRDefault="009D2550">
      <w:pPr>
        <w:spacing w:after="0" w:line="259" w:lineRule="auto"/>
        <w:ind w:left="0" w:firstLine="0"/>
        <w:jc w:val="left"/>
        <w:rPr>
          <w:lang w:val="fr-FR"/>
        </w:rPr>
      </w:pPr>
    </w:p>
    <w:p w:rsidR="009D2550" w:rsidRPr="00130463" w:rsidRDefault="009D2550">
      <w:pPr>
        <w:spacing w:after="0" w:line="259" w:lineRule="auto"/>
        <w:ind w:left="0" w:firstLine="0"/>
        <w:jc w:val="left"/>
        <w:rPr>
          <w:lang w:val="fr-FR"/>
        </w:rPr>
      </w:pPr>
    </w:p>
    <w:p w:rsidR="009D2550" w:rsidRDefault="00C2524A">
      <w:pPr>
        <w:pStyle w:val="berschrift1"/>
        <w:ind w:left="205" w:right="1500" w:hanging="220"/>
      </w:pPr>
      <w:r>
        <w:t>Zweckbestimmung der Datenerhebung, ‐</w:t>
      </w:r>
      <w:proofErr w:type="spellStart"/>
      <w:r>
        <w:t>verarbeitung</w:t>
      </w:r>
      <w:proofErr w:type="spellEnd"/>
      <w:r>
        <w:t xml:space="preserve"> oder ‐</w:t>
      </w:r>
      <w:proofErr w:type="spellStart"/>
      <w:r>
        <w:t>nutzung</w:t>
      </w:r>
      <w:proofErr w:type="spellEnd"/>
      <w:r>
        <w:t xml:space="preserve"> </w:t>
      </w:r>
    </w:p>
    <w:p w:rsidR="009D2550" w:rsidRDefault="00C2524A">
      <w:pPr>
        <w:ind w:left="-5"/>
      </w:pPr>
      <w:r>
        <w:t xml:space="preserve">Hauptzweck ist die Erhebung, Verarbeitung und Nutzung von Daten im Auftrag zur Erfüllung der Mieteraufträge. Nebenzweck ist die Mieterbetreuung, sowie die Interessentenbetreuung. </w:t>
      </w:r>
    </w:p>
    <w:p w:rsidR="009D2550" w:rsidRDefault="00C2524A">
      <w:pPr>
        <w:ind w:left="-5"/>
      </w:pPr>
      <w:r>
        <w:t xml:space="preserve">Konkret gehören dazu: Mietverwaltung und Akquise, Terminverwaltung, Vertragsabwicklung, Serviceabwicklung, Fakturierung und Zahlungsverkehr. </w:t>
      </w:r>
    </w:p>
    <w:p w:rsidR="009D2550" w:rsidRDefault="009D2550" w:rsidP="00130463">
      <w:pPr>
        <w:spacing w:after="0" w:line="259" w:lineRule="auto"/>
        <w:ind w:left="0" w:firstLine="0"/>
        <w:jc w:val="left"/>
      </w:pPr>
    </w:p>
    <w:p w:rsidR="009D2550" w:rsidRDefault="00C2524A">
      <w:pPr>
        <w:pStyle w:val="berschrift1"/>
        <w:ind w:left="205" w:right="1500" w:hanging="220"/>
      </w:pPr>
      <w:r>
        <w:t xml:space="preserve">Rechtsgrundlage für die Verarbeitung </w:t>
      </w:r>
    </w:p>
    <w:p w:rsidR="009D2550" w:rsidRDefault="00C2524A" w:rsidP="00130463">
      <w:pPr>
        <w:ind w:left="-5"/>
      </w:pPr>
      <w:r>
        <w:t>Die Rechtsgrundlage für die Verarbeitung personenbezogener Daten unserer Kunden ist der §</w:t>
      </w:r>
      <w:r w:rsidR="00EC793B">
        <w:t> </w:t>
      </w:r>
      <w:r>
        <w:t xml:space="preserve">6 Absatz 1 </w:t>
      </w:r>
      <w:proofErr w:type="spellStart"/>
      <w:r>
        <w:t>lit</w:t>
      </w:r>
      <w:proofErr w:type="spellEnd"/>
      <w:r>
        <w:t>. c KDG</w:t>
      </w:r>
      <w:r w:rsidR="00EC793B">
        <w:t>,</w:t>
      </w:r>
      <w:r>
        <w:t xml:space="preserve"> nachdem die Verarbeitung zur Erfüllung eines Vertrages mit dem Betroffenen zulässig ist. </w:t>
      </w:r>
    </w:p>
    <w:p w:rsidR="009D2550" w:rsidRDefault="009D2550">
      <w:pPr>
        <w:spacing w:after="0" w:line="259" w:lineRule="auto"/>
        <w:ind w:left="0" w:firstLine="0"/>
        <w:jc w:val="left"/>
      </w:pPr>
    </w:p>
    <w:p w:rsidR="009D2550" w:rsidRDefault="00C2524A">
      <w:pPr>
        <w:pStyle w:val="berschrift1"/>
        <w:ind w:left="205" w:right="1500" w:hanging="220"/>
      </w:pPr>
      <w:r>
        <w:t xml:space="preserve">Empfänger oder Kategorien von Empfängern denen die Daten mitgeteilt werden </w:t>
      </w:r>
    </w:p>
    <w:p w:rsidR="009D2550" w:rsidRDefault="00C2524A" w:rsidP="00130463">
      <w:pPr>
        <w:ind w:left="-5"/>
      </w:pPr>
      <w:r>
        <w:t xml:space="preserve">Grundsätzlich geben wir keine personenbezogenen Daten unserer Mieter an Dritte weiter, es sei denn eine Weitergabe ist aufgrund gesetzlicher Vorschriften oder zur Auftragserfüllung zwingend erforderlich. In diesem Fall werden Betroffene darüber informiert sofern diese nicht bereits Kenntnis darüber haben. </w:t>
      </w:r>
    </w:p>
    <w:p w:rsidR="009D2550" w:rsidRDefault="009D2550">
      <w:pPr>
        <w:spacing w:after="0" w:line="259" w:lineRule="auto"/>
        <w:ind w:left="0" w:firstLine="0"/>
        <w:jc w:val="left"/>
      </w:pPr>
    </w:p>
    <w:p w:rsidR="009D2550" w:rsidRDefault="00C2524A">
      <w:pPr>
        <w:pStyle w:val="berschrift1"/>
        <w:ind w:left="205" w:right="1500" w:hanging="220"/>
      </w:pPr>
      <w:r>
        <w:t xml:space="preserve">Datenübermittlung in Drittstaaten </w:t>
      </w:r>
    </w:p>
    <w:p w:rsidR="009D2550" w:rsidRDefault="00C2524A" w:rsidP="00130463">
      <w:pPr>
        <w:ind w:left="-5"/>
      </w:pPr>
      <w:r>
        <w:t>Eine Übermittlung der Daten an Staaten außerhalb der EU bzw. EWR (Drittstaaten) ist nicht geplant.</w:t>
      </w:r>
    </w:p>
    <w:p w:rsidR="00130463" w:rsidRDefault="00130463" w:rsidP="00130463">
      <w:pPr>
        <w:ind w:left="-5"/>
      </w:pPr>
    </w:p>
    <w:p w:rsidR="009D2550" w:rsidRDefault="00C2524A">
      <w:pPr>
        <w:pStyle w:val="berschrift1"/>
        <w:ind w:left="205" w:right="1500" w:hanging="220"/>
      </w:pPr>
      <w:r>
        <w:lastRenderedPageBreak/>
        <w:t xml:space="preserve">Aufbewahrungsdauer personenbezogener Daten </w:t>
      </w:r>
    </w:p>
    <w:p w:rsidR="009D2550" w:rsidRDefault="00C2524A">
      <w:pPr>
        <w:ind w:left="-5"/>
      </w:pPr>
      <w:r>
        <w:t>Grundsätzlich löschen wir die Daten wenn der Zweck für den die Daten erhoben wurden entfallen ist, z.</w:t>
      </w:r>
      <w:r w:rsidR="00EC793B">
        <w:t> </w:t>
      </w:r>
      <w:r>
        <w:t>B. bei Beendigung eines Vertragsverhältnisses, sofern keine gesetzlichen Aufbewahrungspflichten einer Löschung entgegenstehen. Ist eine Löschung nicht möglich, z.</w:t>
      </w:r>
      <w:r w:rsidR="00EC793B">
        <w:t> </w:t>
      </w:r>
      <w:r>
        <w:t xml:space="preserve">B. Daten die in einem elektronischen Archivsystem gespeichert sind, werden diese für eine weitere Verarbeitung gesperrt bzw. anonymisiert. </w:t>
      </w:r>
    </w:p>
    <w:p w:rsidR="009D2550" w:rsidRDefault="00C2524A" w:rsidP="00130463">
      <w:pPr>
        <w:ind w:left="-5"/>
      </w:pPr>
      <w:r>
        <w:t xml:space="preserve">Die Aufbewahrungsdauer bzw. die Löschfristen von Kundendaten hängt von der </w:t>
      </w:r>
      <w:proofErr w:type="spellStart"/>
      <w:r>
        <w:t>Datenart</w:t>
      </w:r>
      <w:proofErr w:type="spellEnd"/>
      <w:r>
        <w:t xml:space="preserve"> ab. Eine genaue Auflistung der </w:t>
      </w:r>
      <w:bookmarkStart w:id="0" w:name="_GoBack"/>
      <w:bookmarkEnd w:id="0"/>
      <w:r>
        <w:t>von uns verarbeiteten Datenkategorien und Datenarten führen wir in einem elektronischen Verzeichnis der Verarbeitungstätigkeiten gem. §</w:t>
      </w:r>
      <w:r w:rsidR="00EC793B">
        <w:t> </w:t>
      </w:r>
      <w:r>
        <w:t>31 KDG. Daten</w:t>
      </w:r>
      <w:r w:rsidR="00EC793B">
        <w:t>,</w:t>
      </w:r>
      <w:r>
        <w:t xml:space="preserve"> die wir zur Geltendmachung, Ausübung oder Verteidigung von Rechtsansprüchen benötigen</w:t>
      </w:r>
      <w:r w:rsidR="00EC793B">
        <w:t>,</w:t>
      </w:r>
      <w:r>
        <w:t xml:space="preserve"> löschen wir gem. §</w:t>
      </w:r>
      <w:r w:rsidR="00EC793B">
        <w:t> </w:t>
      </w:r>
      <w:r>
        <w:t xml:space="preserve">19 Absatz 3 </w:t>
      </w:r>
      <w:proofErr w:type="spellStart"/>
      <w:r w:rsidR="00EC793B">
        <w:t>lit</w:t>
      </w:r>
      <w:proofErr w:type="spellEnd"/>
      <w:r w:rsidR="00EC793B">
        <w:t>.</w:t>
      </w:r>
      <w:r>
        <w:t xml:space="preserve"> e KDG nicht. </w:t>
      </w:r>
    </w:p>
    <w:p w:rsidR="009D2550" w:rsidRDefault="009D2550">
      <w:pPr>
        <w:spacing w:after="0" w:line="259" w:lineRule="auto"/>
        <w:ind w:left="0" w:firstLine="0"/>
        <w:jc w:val="left"/>
      </w:pPr>
    </w:p>
    <w:p w:rsidR="009D2550" w:rsidRDefault="00C2524A">
      <w:pPr>
        <w:pStyle w:val="berschrift1"/>
        <w:ind w:left="205" w:right="1500" w:hanging="220"/>
      </w:pPr>
      <w:r>
        <w:t xml:space="preserve">Recht auf Auskunft, Berichtigung, Löschung und Einschränkung der Verarbeitung </w:t>
      </w:r>
    </w:p>
    <w:p w:rsidR="009D2550" w:rsidRDefault="00C2524A" w:rsidP="00130463">
      <w:pPr>
        <w:ind w:left="-5"/>
      </w:pPr>
      <w:r>
        <w:t xml:space="preserve">Sie haben das Recht, jederzeit Auskunft über Ihre bei uns gespeicherten personenbezogenen Daten zu erhalten. Ebenso haben Sie das Recht auf Berichtigung, Sperrung oder, abgesehen von der vorgeschriebenen Datenspeicherung zur Geschäftsabwicklung, Löschung Ihrer personenbezogenen Daten. Damit eine Sperre von Daten jederzeit berücksichtigt werden kann, müssen diese Daten zu Kontrollzwecken in einer Sperrdatei vorgehalten werden. Sie können auch die Löschung der Daten verlangen, soweit keine gesetzliche Aufbewahrungsverpflichtung besteht. Soweit eine solche Verpflichtung besteht, sperren wir Ihre Daten auf Wunsch. </w:t>
      </w:r>
    </w:p>
    <w:p w:rsidR="009D2550" w:rsidRDefault="009D2550">
      <w:pPr>
        <w:spacing w:after="0" w:line="259" w:lineRule="auto"/>
        <w:ind w:left="0" w:firstLine="0"/>
        <w:jc w:val="left"/>
      </w:pPr>
    </w:p>
    <w:p w:rsidR="009D2550" w:rsidRDefault="00C2524A">
      <w:pPr>
        <w:pStyle w:val="berschrift1"/>
        <w:ind w:left="205" w:right="1500" w:hanging="220"/>
      </w:pPr>
      <w:r>
        <w:t xml:space="preserve">Einwilligungen </w:t>
      </w:r>
    </w:p>
    <w:p w:rsidR="009D2550" w:rsidRDefault="00C2524A" w:rsidP="00130463">
      <w:pPr>
        <w:ind w:left="-5"/>
      </w:pPr>
      <w:r>
        <w:t xml:space="preserve">Sie können Änderungen oder den Widerruf einer Einwilligung durch entsprechende Mitteilung an uns mit Wirkung für die Zukunft vornehmen. </w:t>
      </w:r>
    </w:p>
    <w:p w:rsidR="009D2550" w:rsidRDefault="009D2550">
      <w:pPr>
        <w:spacing w:after="0" w:line="259" w:lineRule="auto"/>
        <w:ind w:left="0" w:firstLine="0"/>
        <w:jc w:val="left"/>
      </w:pPr>
    </w:p>
    <w:p w:rsidR="009D2550" w:rsidRDefault="00C2524A">
      <w:pPr>
        <w:pStyle w:val="berschrift1"/>
        <w:ind w:left="205" w:right="1500" w:hanging="220"/>
      </w:pPr>
      <w:r>
        <w:t xml:space="preserve">Bereitstellung personenbezogener Daten </w:t>
      </w:r>
    </w:p>
    <w:p w:rsidR="009D2550" w:rsidRDefault="00C2524A" w:rsidP="00130463">
      <w:pPr>
        <w:ind w:left="-5"/>
      </w:pPr>
      <w:r>
        <w:t xml:space="preserve">Zur Auftragserfüllung ist der Auftraggeber bzw. der Mieter verpflichtet personenbezogene Daten in dem Umfang zur Verfügung zu stellen, wie es für die Auftragserfüllung notwendig ist. Dabei liegt es in der Verantwortung des Auftraggebers, dem Mieter nur die Daten zur Verfügung zu stellen, die zur Vertragserfüllung erforderlich sind (Minimalprinzip). </w:t>
      </w:r>
    </w:p>
    <w:p w:rsidR="009D2550" w:rsidRDefault="009D2550">
      <w:pPr>
        <w:spacing w:after="0" w:line="259" w:lineRule="auto"/>
        <w:ind w:left="0" w:firstLine="0"/>
        <w:jc w:val="left"/>
      </w:pPr>
    </w:p>
    <w:p w:rsidR="009D2550" w:rsidRDefault="00C2524A">
      <w:pPr>
        <w:pStyle w:val="berschrift1"/>
        <w:ind w:left="205" w:right="1500" w:hanging="220"/>
      </w:pPr>
      <w:r>
        <w:t xml:space="preserve">Beschwerderecht bei der Aufsichtsbehörde </w:t>
      </w:r>
    </w:p>
    <w:p w:rsidR="009D2550" w:rsidRDefault="00C2524A" w:rsidP="00130463">
      <w:pPr>
        <w:ind w:left="-5"/>
      </w:pPr>
      <w:r>
        <w:t>Sie haben das Recht die Datenschutzaufsichtsbehörde anzurufen und dort Informationen über ihre Rechte aufgrund des Gesetzes über den kirchlichen Datenschutz und sonstiger Vorschriften über den Datenschutz zu erfahren. Darüber hinaus ist die Aufsichtsbehörde Anlaufstelle für Beschwerden bei der Verarbeitung personenbezogener Daten.</w:t>
      </w:r>
    </w:p>
    <w:p w:rsidR="00130463" w:rsidRDefault="00130463" w:rsidP="00130463">
      <w:pPr>
        <w:ind w:left="-5"/>
      </w:pPr>
    </w:p>
    <w:p w:rsidR="00130463" w:rsidRDefault="00C2524A" w:rsidP="00130463">
      <w:pPr>
        <w:ind w:left="-5"/>
      </w:pPr>
      <w:r>
        <w:t xml:space="preserve">Zuständige Aufsichtsbehörde für das Bistum Münster: </w:t>
      </w:r>
    </w:p>
    <w:p w:rsidR="009D2550" w:rsidRDefault="009D2550" w:rsidP="00130463">
      <w:pPr>
        <w:ind w:left="-5"/>
      </w:pPr>
    </w:p>
    <w:p w:rsidR="00130463" w:rsidRDefault="00C2524A" w:rsidP="00130463">
      <w:r>
        <w:t>Katholisches Datenschutzzentrum – Körperschaft des öffentlichen Rechts</w:t>
      </w:r>
    </w:p>
    <w:p w:rsidR="00130463" w:rsidRDefault="00C2524A" w:rsidP="00130463">
      <w:proofErr w:type="spellStart"/>
      <w:r>
        <w:t>Brackeler</w:t>
      </w:r>
      <w:proofErr w:type="spellEnd"/>
      <w:r>
        <w:t xml:space="preserve"> Hellweg 144 </w:t>
      </w:r>
    </w:p>
    <w:p w:rsidR="00130463" w:rsidRDefault="00C2524A" w:rsidP="00130463">
      <w:r>
        <w:t>44309 Dortmund</w:t>
      </w:r>
    </w:p>
    <w:p w:rsidR="00130463" w:rsidRPr="009B1763" w:rsidRDefault="00C2524A" w:rsidP="00130463">
      <w:r w:rsidRPr="009B1763">
        <w:t>Telefon: 0231</w:t>
      </w:r>
      <w:r w:rsidR="00130463" w:rsidRPr="009B1763">
        <w:t xml:space="preserve"> </w:t>
      </w:r>
      <w:r w:rsidRPr="009B1763">
        <w:t>138985‐0</w:t>
      </w:r>
    </w:p>
    <w:p w:rsidR="00130463" w:rsidRPr="009B1763" w:rsidRDefault="00C2524A" w:rsidP="00130463">
      <w:r w:rsidRPr="009B1763">
        <w:t>Telefax: 0231</w:t>
      </w:r>
      <w:r w:rsidR="00130463" w:rsidRPr="009B1763">
        <w:t xml:space="preserve"> </w:t>
      </w:r>
      <w:r w:rsidRPr="009B1763">
        <w:t>138985‐22</w:t>
      </w:r>
    </w:p>
    <w:p w:rsidR="009D2550" w:rsidRPr="00130463" w:rsidRDefault="00C2524A" w:rsidP="00130463">
      <w:pPr>
        <w:rPr>
          <w:lang w:val="it-IT"/>
        </w:rPr>
      </w:pPr>
      <w:r w:rsidRPr="00130463">
        <w:rPr>
          <w:lang w:val="it-IT"/>
        </w:rPr>
        <w:t xml:space="preserve">E‐Mail: info@kdsz.de </w:t>
      </w:r>
    </w:p>
    <w:sectPr w:rsidR="009D2550" w:rsidRPr="00130463">
      <w:headerReference w:type="default" r:id="rId7"/>
      <w:footerReference w:type="default" r:id="rId8"/>
      <w:pgSz w:w="11904" w:h="16840"/>
      <w:pgMar w:top="209" w:right="1414" w:bottom="128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463" w:rsidRDefault="00130463" w:rsidP="00130463">
      <w:pPr>
        <w:spacing w:after="0" w:line="240" w:lineRule="auto"/>
      </w:pPr>
      <w:r>
        <w:separator/>
      </w:r>
    </w:p>
  </w:endnote>
  <w:endnote w:type="continuationSeparator" w:id="0">
    <w:p w:rsidR="00130463" w:rsidRDefault="00130463" w:rsidP="0013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63" w:rsidRPr="009B1763" w:rsidRDefault="009B1763">
    <w:pPr>
      <w:pStyle w:val="Fuzeile"/>
      <w:rPr>
        <w:color w:val="808080" w:themeColor="background1" w:themeShade="80"/>
        <w:sz w:val="16"/>
        <w:szCs w:val="16"/>
      </w:rPr>
    </w:pPr>
    <w:r w:rsidRPr="009B1763">
      <w:rPr>
        <w:color w:val="808080" w:themeColor="background1" w:themeShade="80"/>
        <w:sz w:val="16"/>
        <w:szCs w:val="16"/>
      </w:rPr>
      <w:t>Version 24.05.2019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463" w:rsidRDefault="00130463" w:rsidP="00130463">
      <w:pPr>
        <w:spacing w:after="0" w:line="240" w:lineRule="auto"/>
      </w:pPr>
      <w:r>
        <w:separator/>
      </w:r>
    </w:p>
  </w:footnote>
  <w:footnote w:type="continuationSeparator" w:id="0">
    <w:p w:rsidR="00130463" w:rsidRDefault="00130463" w:rsidP="00130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463" w:rsidRDefault="00130463">
    <w:pPr>
      <w:pStyle w:val="Kopfzeile"/>
    </w:pPr>
    <w:r>
      <w:rPr>
        <w:noProof/>
      </w:rPr>
      <w:drawing>
        <wp:anchor distT="0" distB="0" distL="114300" distR="114300" simplePos="0" relativeHeight="251659264" behindDoc="0" locked="0" layoutInCell="1" allowOverlap="1" wp14:anchorId="36041676" wp14:editId="55DE8535">
          <wp:simplePos x="0" y="0"/>
          <wp:positionH relativeFrom="column">
            <wp:posOffset>3800723</wp:posOffset>
          </wp:positionH>
          <wp:positionV relativeFrom="paragraph">
            <wp:posOffset>-325976</wp:posOffset>
          </wp:positionV>
          <wp:extent cx="2123440" cy="1021715"/>
          <wp:effectExtent l="0" t="0" r="0" b="698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123440" cy="1021715"/>
                  </a:xfrm>
                  <a:prstGeom prst="rect">
                    <a:avLst/>
                  </a:prstGeom>
                </pic:spPr>
              </pic:pic>
            </a:graphicData>
          </a:graphic>
        </wp:anchor>
      </w:drawing>
    </w:r>
  </w:p>
  <w:p w:rsidR="00130463" w:rsidRDefault="001304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11E8D"/>
    <w:multiLevelType w:val="hybridMultilevel"/>
    <w:tmpl w:val="A0149F04"/>
    <w:lvl w:ilvl="0" w:tplc="F7CE4CC6">
      <w:start w:val="1"/>
      <w:numFmt w:val="decimal"/>
      <w:pStyle w:val="berschrift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9E2C2F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87EC32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66C6E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6FAB3E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D40CA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FECD1C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138B05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968993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50"/>
    <w:rsid w:val="00130463"/>
    <w:rsid w:val="009B1763"/>
    <w:rsid w:val="009D2550"/>
    <w:rsid w:val="00C2524A"/>
    <w:rsid w:val="00EC793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ADE3"/>
  <w15:docId w15:val="{FFD5DA66-414F-4A77-BAA8-1CFFB76C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4" w:line="250" w:lineRule="auto"/>
      <w:ind w:left="10" w:hanging="10"/>
      <w:jc w:val="both"/>
    </w:pPr>
    <w:rPr>
      <w:rFonts w:ascii="Calibri" w:eastAsia="Calibri" w:hAnsi="Calibri" w:cs="Calibri"/>
      <w:color w:val="000000"/>
    </w:rPr>
  </w:style>
  <w:style w:type="paragraph" w:styleId="berschrift1">
    <w:name w:val="heading 1"/>
    <w:next w:val="Standard"/>
    <w:link w:val="berschrift1Zchn"/>
    <w:uiPriority w:val="9"/>
    <w:qFormat/>
    <w:pPr>
      <w:keepNext/>
      <w:keepLines/>
      <w:numPr>
        <w:numId w:val="1"/>
      </w:numPr>
      <w:spacing w:after="4" w:line="268" w:lineRule="auto"/>
      <w:ind w:left="10" w:hanging="10"/>
      <w:outlineLvl w:val="0"/>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1304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463"/>
    <w:rPr>
      <w:rFonts w:ascii="Calibri" w:eastAsia="Calibri" w:hAnsi="Calibri" w:cs="Calibri"/>
      <w:color w:val="000000"/>
    </w:rPr>
  </w:style>
  <w:style w:type="paragraph" w:styleId="Fuzeile">
    <w:name w:val="footer"/>
    <w:basedOn w:val="Standard"/>
    <w:link w:val="FuzeileZchn"/>
    <w:uiPriority w:val="99"/>
    <w:unhideWhenUsed/>
    <w:rsid w:val="001304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46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Microsoft Word - Informationspflichten zu Datenverarbeitung für Mieter (BGV)</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Informationspflichten zu Datenverarbeitung für Mieter (BGV)</dc:title>
  <dc:subject/>
  <dc:creator>schroeder-t</dc:creator>
  <cp:keywords/>
  <cp:lastModifiedBy>Trewin, Rahel</cp:lastModifiedBy>
  <cp:revision>3</cp:revision>
  <dcterms:created xsi:type="dcterms:W3CDTF">2019-05-24T10:12:00Z</dcterms:created>
  <dcterms:modified xsi:type="dcterms:W3CDTF">2019-05-24T10:22:00Z</dcterms:modified>
</cp:coreProperties>
</file>